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b w:val="1"/>
        </w:rPr>
      </w:pPr>
      <w:bookmarkStart w:colFirst="0" w:colLast="0" w:name="_heading=h.gjdgxs" w:id="0"/>
      <w:bookmarkEnd w:id="0"/>
      <w:r w:rsidDel="00000000" w:rsidR="00000000" w:rsidRPr="00000000">
        <w:rPr>
          <w:b w:val="1"/>
          <w:rtl w:val="0"/>
        </w:rPr>
        <w:t xml:space="preserve">SAFEJETS FTL ÜYELİK SÖZLEŞMESİ</w:t>
      </w:r>
    </w:p>
    <w:p w:rsidR="00000000" w:rsidDel="00000000" w:rsidP="00000000" w:rsidRDefault="00000000" w:rsidRPr="00000000" w14:paraId="00000002">
      <w:pPr>
        <w:pStyle w:val="Heading2"/>
        <w:jc w:val="both"/>
        <w:rPr>
          <w:sz w:val="22"/>
          <w:szCs w:val="22"/>
        </w:rPr>
      </w:pPr>
      <w:r w:rsidDel="00000000" w:rsidR="00000000" w:rsidRPr="00000000">
        <w:rPr>
          <w:sz w:val="22"/>
          <w:szCs w:val="22"/>
          <w:rtl w:val="0"/>
        </w:rPr>
        <w:t xml:space="preserve">1. TARAFLAR</w:t>
      </w:r>
    </w:p>
    <w:p w:rsidR="00000000" w:rsidDel="00000000" w:rsidP="00000000" w:rsidRDefault="00000000" w:rsidRPr="00000000" w14:paraId="0000000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İşbu sözleşme </w:t>
      </w:r>
      <w:r w:rsidDel="00000000" w:rsidR="00000000" w:rsidRPr="00000000">
        <w:rPr>
          <w:rFonts w:ascii="Open Sans" w:cs="Open Sans" w:eastAsia="Open Sans" w:hAnsi="Open Sans"/>
          <w:b w:val="1"/>
          <w:sz w:val="20"/>
          <w:szCs w:val="20"/>
          <w:rtl w:val="0"/>
        </w:rPr>
        <w:t xml:space="preserve">ENTROPOL ARGE LTD. ŞTİ.</w:t>
      </w:r>
      <w:r w:rsidDel="00000000" w:rsidR="00000000" w:rsidRPr="00000000">
        <w:rPr>
          <w:rFonts w:ascii="Open Sans" w:cs="Open Sans" w:eastAsia="Open Sans" w:hAnsi="Open Sans"/>
          <w:sz w:val="18"/>
          <w:szCs w:val="18"/>
          <w:rtl w:val="0"/>
        </w:rPr>
        <w:t xml:space="preserve"> (Adresi: İstasyon Mah. Mali Müşavirler Sitesi Yolu, Ölçükent Villaları 6/27, K.Çekmece – İstanbul) (</w:t>
      </w:r>
      <w:r w:rsidDel="00000000" w:rsidR="00000000" w:rsidRPr="00000000">
        <w:rPr>
          <w:rFonts w:ascii="Open Sans" w:cs="Open Sans" w:eastAsia="Open Sans" w:hAnsi="Open Sans"/>
          <w:b w:val="1"/>
          <w:sz w:val="18"/>
          <w:szCs w:val="18"/>
          <w:rtl w:val="0"/>
        </w:rPr>
        <w:t xml:space="preserve">ENTROPOL</w:t>
      </w:r>
      <w:r w:rsidDel="00000000" w:rsidR="00000000" w:rsidRPr="00000000">
        <w:rPr>
          <w:rFonts w:ascii="Open Sans" w:cs="Open Sans" w:eastAsia="Open Sans" w:hAnsi="Open Sans"/>
          <w:sz w:val="18"/>
          <w:szCs w:val="18"/>
          <w:rtl w:val="0"/>
        </w:rPr>
        <w:t xml:space="preserve"> olarak anılacaktır) ile </w:t>
      </w:r>
      <w:r w:rsidDel="00000000" w:rsidR="00000000" w:rsidRPr="00000000">
        <w:rPr>
          <w:rFonts w:ascii="Open Sans" w:cs="Open Sans" w:eastAsia="Open Sans" w:hAnsi="Open Sans"/>
          <w:b w:val="1"/>
          <w:sz w:val="20"/>
          <w:szCs w:val="20"/>
          <w:highlight w:val="yellow"/>
          <w:rtl w:val="0"/>
        </w:rPr>
        <w:t xml:space="preserve">…………………………….  </w:t>
      </w:r>
      <w:r w:rsidDel="00000000" w:rsidR="00000000" w:rsidRPr="00000000">
        <w:rPr>
          <w:rFonts w:ascii="Open Sans" w:cs="Open Sans" w:eastAsia="Open Sans" w:hAnsi="Open Sans"/>
          <w:sz w:val="16"/>
          <w:szCs w:val="16"/>
          <w:highlight w:val="yellow"/>
          <w:rtl w:val="0"/>
        </w:rPr>
        <w:t xml:space="preserve">(Adresi:  </w:t>
      </w:r>
      <w:r w:rsidDel="00000000" w:rsidR="00000000" w:rsidRPr="00000000">
        <w:rPr>
          <w:sz w:val="20"/>
          <w:szCs w:val="20"/>
          <w:highlight w:val="yellow"/>
          <w:rtl w:val="0"/>
        </w:rPr>
        <w:t xml:space="preserve">……………………………………………….. </w:t>
      </w:r>
      <w:r w:rsidDel="00000000" w:rsidR="00000000" w:rsidRPr="00000000">
        <w:rPr>
          <w:rFonts w:ascii="Open Sans" w:cs="Open Sans" w:eastAsia="Open Sans" w:hAnsi="Open Sans"/>
          <w:sz w:val="16"/>
          <w:szCs w:val="16"/>
          <w:highlight w:val="yellow"/>
          <w:rtl w:val="0"/>
        </w:rPr>
        <w:t xml:space="preserve">)</w:t>
      </w:r>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b w:val="1"/>
          <w:sz w:val="18"/>
          <w:szCs w:val="18"/>
          <w:rtl w:val="0"/>
        </w:rPr>
        <w:t xml:space="preserve">ALICI </w:t>
      </w:r>
      <w:r w:rsidDel="00000000" w:rsidR="00000000" w:rsidRPr="00000000">
        <w:rPr>
          <w:rFonts w:ascii="Open Sans" w:cs="Open Sans" w:eastAsia="Open Sans" w:hAnsi="Open Sans"/>
          <w:sz w:val="18"/>
          <w:szCs w:val="18"/>
          <w:rtl w:val="0"/>
        </w:rPr>
        <w:t xml:space="preserve">olarak anılacaktır) arasında </w:t>
      </w:r>
      <w:hyperlink r:id="rId7">
        <w:r w:rsidDel="00000000" w:rsidR="00000000" w:rsidRPr="00000000">
          <w:rPr>
            <w:rFonts w:ascii="Open Sans" w:cs="Open Sans" w:eastAsia="Open Sans" w:hAnsi="Open Sans"/>
            <w:i w:val="1"/>
            <w:color w:val="0000ff"/>
            <w:sz w:val="18"/>
            <w:szCs w:val="18"/>
            <w:u w:val="single"/>
            <w:rtl w:val="0"/>
          </w:rPr>
          <w:t xml:space="preserve">http://ftl.safejets.net</w:t>
        </w:r>
      </w:hyperlink>
      <w:r w:rsidDel="00000000" w:rsidR="00000000" w:rsidRPr="00000000">
        <w:rPr>
          <w:rFonts w:ascii="Open Sans" w:cs="Open Sans" w:eastAsia="Open Sans" w:hAnsi="Open Sans"/>
          <w:sz w:val="18"/>
          <w:szCs w:val="18"/>
          <w:rtl w:val="0"/>
        </w:rPr>
        <w:t xml:space="preserve"> adresi üzerinde yer alan </w:t>
      </w:r>
      <w:r w:rsidDel="00000000" w:rsidR="00000000" w:rsidRPr="00000000">
        <w:rPr>
          <w:rFonts w:ascii="Open Sans" w:cs="Open Sans" w:eastAsia="Open Sans" w:hAnsi="Open Sans"/>
          <w:i w:val="1"/>
          <w:sz w:val="18"/>
          <w:szCs w:val="18"/>
          <w:rtl w:val="0"/>
        </w:rPr>
        <w:t xml:space="preserve">SAFEJETS FTL Uçuş Görev Süresi Otomasyon Yazılımı</w:t>
      </w:r>
      <w:r w:rsidDel="00000000" w:rsidR="00000000" w:rsidRPr="00000000">
        <w:rPr>
          <w:rFonts w:ascii="Open Sans" w:cs="Open Sans" w:eastAsia="Open Sans" w:hAnsi="Open Sans"/>
          <w:sz w:val="18"/>
          <w:szCs w:val="18"/>
          <w:rtl w:val="0"/>
        </w:rPr>
        <w:t xml:space="preserve"> (bundan sonra </w:t>
      </w:r>
      <w:r w:rsidDel="00000000" w:rsidR="00000000" w:rsidRPr="00000000">
        <w:rPr>
          <w:rFonts w:ascii="Open Sans" w:cs="Open Sans" w:eastAsia="Open Sans" w:hAnsi="Open Sans"/>
          <w:b w:val="1"/>
          <w:sz w:val="18"/>
          <w:szCs w:val="18"/>
          <w:rtl w:val="0"/>
        </w:rPr>
        <w:t xml:space="preserve">SAFEJETS FTL</w:t>
      </w:r>
      <w:r w:rsidDel="00000000" w:rsidR="00000000" w:rsidRPr="00000000">
        <w:rPr>
          <w:rFonts w:ascii="Open Sans" w:cs="Open Sans" w:eastAsia="Open Sans" w:hAnsi="Open Sans"/>
          <w:sz w:val="18"/>
          <w:szCs w:val="18"/>
          <w:rtl w:val="0"/>
        </w:rPr>
        <w:t xml:space="preserve"> olarak anılacaktır) kullanımı hakkındadır.</w:t>
      </w:r>
    </w:p>
    <w:p w:rsidR="00000000" w:rsidDel="00000000" w:rsidP="00000000" w:rsidRDefault="00000000" w:rsidRPr="00000000" w14:paraId="00000004">
      <w:pPr>
        <w:pStyle w:val="Heading2"/>
        <w:jc w:val="both"/>
        <w:rPr>
          <w:sz w:val="22"/>
          <w:szCs w:val="22"/>
        </w:rPr>
      </w:pPr>
      <w:r w:rsidDel="00000000" w:rsidR="00000000" w:rsidRPr="00000000">
        <w:rPr>
          <w:sz w:val="22"/>
          <w:szCs w:val="22"/>
          <w:rtl w:val="0"/>
        </w:rPr>
        <w:t xml:space="preserve">2. SÖZLEŞME KONUSU HİZMETLER VE ÖZELLİKLERİ</w:t>
      </w:r>
    </w:p>
    <w:p w:rsidR="00000000" w:rsidDel="00000000" w:rsidP="00000000" w:rsidRDefault="00000000" w:rsidRPr="00000000" w14:paraId="0000000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ALICI, işbu Sözleşme ile belirli bir süreliğine SAFEJETS FTL aboneliğini satın almıştır ve sözleşme SAFEJETS FTL’in kullanımıyla ilgili tarafların birbirine yönelik sorumluluklarını konu almaktadır. </w:t>
      </w:r>
    </w:p>
    <w:p w:rsidR="00000000" w:rsidDel="00000000" w:rsidP="00000000" w:rsidRDefault="00000000" w:rsidRPr="00000000" w14:paraId="00000006">
      <w:pPr>
        <w:pStyle w:val="Heading2"/>
        <w:jc w:val="both"/>
        <w:rPr>
          <w:sz w:val="22"/>
          <w:szCs w:val="22"/>
        </w:rPr>
      </w:pPr>
      <w:r w:rsidDel="00000000" w:rsidR="00000000" w:rsidRPr="00000000">
        <w:rPr>
          <w:sz w:val="22"/>
          <w:szCs w:val="22"/>
          <w:rtl w:val="0"/>
        </w:rPr>
        <w:t xml:space="preserve">3. SÖZLEŞME TARİHİ</w:t>
      </w:r>
    </w:p>
    <w:p w:rsidR="00000000" w:rsidDel="00000000" w:rsidP="00000000" w:rsidRDefault="00000000" w:rsidRPr="00000000" w14:paraId="0000000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İşbu Sözleşme, ENTROPOL ve ALICI tarafından imza edilmesiyle akdedilmiş olup ve bu andan itibaren hüküm ve sonuç doğuracaktır. Sözleşme, tarafların attığı imzalardan ilkinin tarihi olarak kabul edilir ve üyelik başlangıç tarihi olarak da varsa tarafların üzerinde daha önce anlaştığı, yoksa da bu sözleşmenin akdi esas alınır. Sözleşme süresi aksi belirtilmedikçe bir yıldır ve tarafların yazılı bir talebi olmadıkça bu sözleşmenin şartlarına göre otomatik olarak yenilenir.</w:t>
      </w:r>
    </w:p>
    <w:p w:rsidR="00000000" w:rsidDel="00000000" w:rsidP="00000000" w:rsidRDefault="00000000" w:rsidRPr="00000000" w14:paraId="00000008">
      <w:pPr>
        <w:pStyle w:val="Heading2"/>
        <w:jc w:val="both"/>
        <w:rPr>
          <w:sz w:val="22"/>
          <w:szCs w:val="22"/>
        </w:rPr>
      </w:pPr>
      <w:r w:rsidDel="00000000" w:rsidR="00000000" w:rsidRPr="00000000">
        <w:rPr>
          <w:sz w:val="22"/>
          <w:szCs w:val="22"/>
          <w:rtl w:val="0"/>
        </w:rPr>
        <w:t xml:space="preserve">4. ÜYELİK İŞLEMLERİ, KULLANICI ADLARI VE ŞİFRELER</w:t>
      </w:r>
    </w:p>
    <w:p w:rsidR="00000000" w:rsidDel="00000000" w:rsidP="00000000" w:rsidRDefault="00000000" w:rsidRPr="00000000" w14:paraId="0000000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Sözleşmenin imzalanmasına müteakip ALICI tarafından sağlanan e-posta adresi, logo, unvan (ya da marka adı), sistemden sorumlu yönetici adı soyadı, varsa tercih edilen bir kullanıcı adı ve kullanıcının dil tercihi (daha sonra sistem üzerinden değiştirilebilmektedir) sağlanması gerekmektedir. Bu bilgiler bu sözleşmenin bir parçası olarak sunulabileceği gibi, safejets.net adresi üzerinden sağlanan anket aracılığıyla ya da daha sonra e-posta yoluyla </w:t>
      </w:r>
      <w:hyperlink r:id="rId8">
        <w:r w:rsidDel="00000000" w:rsidR="00000000" w:rsidRPr="00000000">
          <w:rPr>
            <w:rFonts w:ascii="Open Sans" w:cs="Open Sans" w:eastAsia="Open Sans" w:hAnsi="Open Sans"/>
            <w:i w:val="1"/>
            <w:color w:val="3b3838"/>
            <w:sz w:val="18"/>
            <w:szCs w:val="18"/>
            <w:u w:val="single"/>
            <w:rtl w:val="0"/>
          </w:rPr>
          <w:t xml:space="preserve">info@entropol.com</w:t>
        </w:r>
      </w:hyperlink>
      <w:r w:rsidDel="00000000" w:rsidR="00000000" w:rsidRPr="00000000">
        <w:rPr>
          <w:rFonts w:ascii="Open Sans" w:cs="Open Sans" w:eastAsia="Open Sans" w:hAnsi="Open Sans"/>
          <w:color w:val="3b3838"/>
          <w:sz w:val="18"/>
          <w:szCs w:val="18"/>
          <w:rtl w:val="0"/>
        </w:rPr>
        <w:t xml:space="preserve"> </w:t>
      </w:r>
      <w:r w:rsidDel="00000000" w:rsidR="00000000" w:rsidRPr="00000000">
        <w:rPr>
          <w:rFonts w:ascii="Open Sans" w:cs="Open Sans" w:eastAsia="Open Sans" w:hAnsi="Open Sans"/>
          <w:sz w:val="18"/>
          <w:szCs w:val="18"/>
          <w:rtl w:val="0"/>
        </w:rPr>
        <w:t xml:space="preserve">adresine de gönderilebilir. Üyelik, ödemenin yapılması ve bu bilgilerin sağlanmasını takip eden en geç iki iş günü içerisinde aktive edilecek ve kullanıcıya geçici bir şifre temin dilecektir. Kullanıcı sistem üzerinden bu şifreyi dilediği gibi değiştirebilir. Şifre seçimi, değişimi ve korunmasına dair sorumluluk tamamen ALICI’ya aittir.</w:t>
      </w:r>
    </w:p>
    <w:p w:rsidR="00000000" w:rsidDel="00000000" w:rsidP="00000000" w:rsidRDefault="00000000" w:rsidRPr="00000000" w14:paraId="0000000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 ALICI, üyelik oluşturulması ve hizmetlerin kullanılması sırasında, ENTROPOL’e bildirdiği tüm bilgilerin doğru olduğunu ve bu bilgilerin gerekli olduğu durumlarda hatalı veya noksan olmasından kaynaklanabilecek sorunlardan ENTROPOL’ün bir sorumluluğu bulunmadığını kabul ve taahhüt eder. ALICI’nın bilgilerinde değişiklik olması halinde söz konusu bilgilerin güncellenmesi için ENTROPOL’e bildirilmesi ALICI’nın sorumluluğundadır.</w:t>
      </w:r>
    </w:p>
    <w:p w:rsidR="00000000" w:rsidDel="00000000" w:rsidP="00000000" w:rsidRDefault="00000000" w:rsidRPr="00000000" w14:paraId="0000000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 ALICI, sisteme giriş yaptıktan sonra kendi bünyesinde sistemi kullanacak olan diğer kullanıcıları oluşturma hakkına sahip olacaktır ancak toplam kullanıcı sayısı hava aracı sayısının 10 mislini geçemez. ALICI, bu şifre ve kullanıcı adlarının gizli kalması için gerekli dikkat ve özeni göstereceğini, şifreleri ve kullanıcı adlarını herhangi bir üçüncü şahsa açıklamayacağını, kullandırmayacağını, kullanıcı adları ve şifrelerinin yetkisiz üçüncü şahıslar tarafından ele geçirildiğini öğrenmesi veya bundan şüphelenmesi halinde derhal ENTROPOL’e haber vereceğini, şifre ve kullanıcı adının üçüncü şahıslar tarafından kullanılması sebebiyle doğacak zararlardan ENTROPOL’ün sorumlu olmayacağını kabul ve taahhüt eder.</w:t>
      </w:r>
    </w:p>
    <w:p w:rsidR="00000000" w:rsidDel="00000000" w:rsidP="00000000" w:rsidRDefault="00000000" w:rsidRPr="00000000" w14:paraId="0000000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d. Site üzerinden ALICI tarafından oluşturulan şifreler sistem tarafından veri tabanına tek yönlü şifrelenerek kaydedilecek olup herhangi bir ENTROPOL çalışanı tarafından görülmesi ve öğrenilmesi asla ve kata mümkün olmayacaktır. ENTROPOL, bu şifreleri mutlaka tek yönlü olarak şifreleyeceğini, bu şifreleri öğrenebileceği herhangi bir yöntem uygulamayacağını kabul ve taahhüt eder. </w:t>
      </w:r>
    </w:p>
    <w:p w:rsidR="00000000" w:rsidDel="00000000" w:rsidP="00000000" w:rsidRDefault="00000000" w:rsidRPr="00000000" w14:paraId="0000000D">
      <w:pPr>
        <w:pStyle w:val="Heading2"/>
        <w:jc w:val="both"/>
        <w:rPr>
          <w:sz w:val="22"/>
          <w:szCs w:val="22"/>
        </w:rPr>
      </w:pPr>
      <w:r w:rsidDel="00000000" w:rsidR="00000000" w:rsidRPr="00000000">
        <w:rPr>
          <w:sz w:val="22"/>
          <w:szCs w:val="22"/>
          <w:rtl w:val="0"/>
        </w:rPr>
        <w:t xml:space="preserve">5. TARAFLARIN BEYAN VE TAAHHÜTLERİ</w:t>
      </w:r>
    </w:p>
    <w:p w:rsidR="00000000" w:rsidDel="00000000" w:rsidP="00000000" w:rsidRDefault="00000000" w:rsidRPr="00000000" w14:paraId="0000000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ENTROPOL, ALICI’nın sistemin izin verdiği yollarla sisteme işlediği bilgilerin korunması, yedeklenmesi ve gizliliğiyle ilgili tamamıyla sorumlu olduğunu kabul ve taahhüt eder. ALICI’nın bilgilerinin de dahil olduğu veri tabanı her gün yedeklenecek, ENTROPOL ve ALICI’nın sorumluluğunun ve katkısının bulunmadığı herhangi bir problem ortaya çıkması durumunda tüm bilgiler en geç iki gün öncesine kadar geri getirilebilecektir. Veri tabanının yedeklenme sorumluluğu tamamıyla ENTROPOL’e aittir.</w:t>
      </w:r>
    </w:p>
    <w:p w:rsidR="00000000" w:rsidDel="00000000" w:rsidP="00000000" w:rsidRDefault="00000000" w:rsidRPr="00000000" w14:paraId="0000000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 ENTROPOL üyelik hizmetinin sürdüğü süreç boyunca yazılımın düzgün çalışacağını kabul ve taahhüt eder. ALICI, taahhüt edilen işlevler teknik bir nedenle aksadığı zaman ENTROPOL’e bunu e-posta ya da telefon yoluyla bildirecektir. ENTROPOL bildirilen teknik problemi beş iş günü içerisinde gidermekle yükümlüdür.</w:t>
      </w:r>
    </w:p>
    <w:p w:rsidR="00000000" w:rsidDel="00000000" w:rsidP="00000000" w:rsidRDefault="00000000" w:rsidRPr="00000000" w14:paraId="0000001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 ENTROPOL, teknik sorun ve/veya geliştirmelerden kaynaklanan nedenlerle herhangi bir zamanda sistemin çalışmasını ve hizmetlerin verilmesini geçici olarak askıya alabilecek veya tamamen durdurabilecektir. Bu kesintiler gerçekleştirilmeden önce ALICI’ya sistem bünyesindeki duyuru sistemi aracılığıyla veya doğrudan e-posta göndererek bilgi verilecektir. Söz konusu kesintiler bir hafta içerisinde toplam 24 (yirmi dört) saat ve 1 (bir) ay içerisinde toplam 72 (yetmiş iki) saati aşmayacaktır. ALICI, bu nedenle hizmetlerin geçici bir süre için askıya alınmasından dolayı ENTROPOL’den herhangi bir nam altında tazminat ve benzeri hak ve bedel talep etmeyeceğini kabul ve taahhüt eder. </w:t>
      </w:r>
    </w:p>
    <w:p w:rsidR="00000000" w:rsidDel="00000000" w:rsidP="00000000" w:rsidRDefault="00000000" w:rsidRPr="00000000" w14:paraId="00000011">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d. SHGM yönetmelikleri gereği elektronik kayıtlar yedek işlevi gördüğünden, ALICI’nın kendi esas kayıtlarının (çıktı ya da lokal elektronik kayıtlar yoluyla) oluşturulması ve muhafaza edilmesi ALICI’nın sorumluluğunda olup, SAFEJETS FTL uçuş görev sürelerinin yönetiminin kolaylaştırılması, uçuş ve pilot kayıtlarının elektronik olarak saklanması ve raporların uygun şekilde çıktılanması için bir yardımcı araç niteliğindedir. Mücbir sebepler de dahil herhangi bir problem durumunda kayıtların kaybolması halinde bu kayıtların matbu ya da elektronik, bu kayıtların resmi kopyalarının bulunmamasından kaynaklanan zararlardan ENTROPOL’ün sorumlu olmayacağını kabul ve taahhüt eder. Bu madde ENTROPOL’ün Madde 5a’daki sorumluluğunu değiştirmez. FTL sitesinde pilotların her birinin uçuş kayıtlarının aylık bazda export edilebileceği bir araç bulunmaktadır. Buna ilaveten ENTROPOL, ALICI tarafından talep edilmesi halinde pilotların uçuş sektörlerine ait tüm elektronik kayıtları Microsoft EXCEL’de açılabilir bir CSV formatında verecektir.</w:t>
      </w:r>
    </w:p>
    <w:p w:rsidR="00000000" w:rsidDel="00000000" w:rsidP="00000000" w:rsidRDefault="00000000" w:rsidRPr="00000000" w14:paraId="0000001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 ENTROPOL’ün sunduğu hizmet sektörel standartlar paralelinde, mümkün olduğunca kesintisiz, sürekli, güvenli ve kaliteli olacaktır. ALICI, internette yaşanan kesintiler, hız düşmesi ve benzeri sebeplerle hizmette yaşanacak kesinti ve güvenlik problemlerinden ve/veya ülkede genel bir karışıklığın ortaya çıkması savaş, terör, grev, salgın, genel elektrik kesintisi, deprem, su baskını, olağanüstü hal, siber saldırı, cihazlara virüs bulaşmış olması veya benzeri bir mücbir sebeple hizmetin verilmesine ilişkin yaşanacak sorunlardan ENTROPOL’ün sorumlu olmayacağını kabul ve taahhüt eder.</w:t>
      </w:r>
    </w:p>
    <w:p w:rsidR="00000000" w:rsidDel="00000000" w:rsidP="00000000" w:rsidRDefault="00000000" w:rsidRPr="00000000" w14:paraId="0000001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 ENTROPOL, SAFEJETS FTL’i sunduğu internet sitesine ait alan adını ve internet sitesi ve/veya aplikasyonların görünümünü, içeriğini ve dijital içerikleri her zaman için değiştirme hakkını saklı tutar.</w:t>
      </w:r>
    </w:p>
    <w:p w:rsidR="00000000" w:rsidDel="00000000" w:rsidP="00000000" w:rsidRDefault="00000000" w:rsidRPr="00000000" w14:paraId="0000001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h. SAFEJETS FTL’in sürekli ve kaliteli şekilde kullanılabilmesi için, taşınabilir veya sabit bir bilgisayar veya tablet, 3G, 4G, DSL veya Fiber internet bağlantısı, ve en az Chrome 5.0 internet tarayıcısı gerekmektedir. ALICI, işbu Sözleşme ile faydalanmak istediği ücretli hizmetlerden faydalanabilmek için bilgisayarının yahut ürün ve/veya hizmeti kullanacağı diğer elektronik cihazlar ile teknik donanımının hizmetlere uygun gerekli asgari kriterleri karşıladığını, SAFEJETS FTL’in en iyi işlev gösterdiği tarayıcının Chrome olduğunu, bu kriterlere uygun olmayan bilgisayar ve/veya teknik donanım ya da başka bir tarayıcı kullanma sebebiyle hizmetlerden maksimum düzeyde faydalanamama durumunda, ENTROPOL’ün herhangi bir sorumluluğunun olmadığını, herhangi bir nam altında ENTROPOL’den herhangi bir talepte bulunmayacağını kabul, beyan ve taahhüt eder.</w:t>
      </w:r>
    </w:p>
    <w:p w:rsidR="00000000" w:rsidDel="00000000" w:rsidP="00000000" w:rsidRDefault="00000000" w:rsidRPr="00000000" w14:paraId="0000001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 ALICI, SAFEJETS FTL’in internet üzerinden veri akışı ile gerçekleşen bir hizmet olduğunu, ALICI’nın SAFEJETS FTL hizmetlerinden yararlandığı sırada internet bağlantısı olması gerektiğini ve ALICI tarafından alınan internet bağlantısyla ilgili problemlerde, veyahut da ALICI bünyesindeki bilişim sistemlerinin ve protokollerinin ENTROPOL’e ait içerik ve e-postaları engellemesi halinde ENTROPOL’ün bir kusuru ve sorumluluğu bulunmadığını kabul, beyan ve taahhüt eder. Ancak ENTROPOL, olası bir problemin giderilmesinde ALICI bünyesindeki bilişim hizmeti sağlayıcılarıyla tam bir işbirliği içerisinde olmayı kabul ve taahhüt eder.</w:t>
      </w:r>
    </w:p>
    <w:p w:rsidR="00000000" w:rsidDel="00000000" w:rsidP="00000000" w:rsidRDefault="00000000" w:rsidRPr="00000000" w14:paraId="0000001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 ALICI, SAFEJETS FTL üzerinde sistemin izin verdiği kullanımın dışında bir işlem gerçekleştirmeye çalışmayacağını, hiçbir personelinin sisteme normalin dışındaki yollarla bilgi girişi gerçekleştirmeye, sistemi manipüle etmeye, sisteme veya veri tabanına sızma, diğer müşterilerin verilerine ulaşmaya çalışma, hackleme vb. girişimlerinde bulunmayacağını, sistemin webde çalışma özelliğinden yararlanarak web sitesinin kopyalanmasına, çalışma sisteminin örnek teşkil etmek üzere başka taraflarca incelemeye tabi tutulmasına yardım etmeyeceğine, tespit edilmesi halinde bu yolla doğacak zararlardan sorumlu olduğunu ve işbu sözleşmenin 6. Maddesinde belirtilen abonelik bedelinin 10 misli kadar tazminat ödeyeceğini kabul ve taahhüt eder.</w:t>
      </w:r>
    </w:p>
    <w:p w:rsidR="00000000" w:rsidDel="00000000" w:rsidP="00000000" w:rsidRDefault="00000000" w:rsidRPr="00000000" w14:paraId="00000017">
      <w:pPr>
        <w:pStyle w:val="Heading2"/>
        <w:jc w:val="both"/>
        <w:rPr>
          <w:sz w:val="22"/>
          <w:szCs w:val="22"/>
        </w:rPr>
      </w:pPr>
      <w:r w:rsidDel="00000000" w:rsidR="00000000" w:rsidRPr="00000000">
        <w:rPr>
          <w:sz w:val="22"/>
          <w:szCs w:val="22"/>
          <w:rtl w:val="0"/>
        </w:rPr>
        <w:t xml:space="preserve">6. HİZMET BEDELİ, ÖDEME VE YENİLEMELER</w:t>
      </w:r>
    </w:p>
    <w:p w:rsidR="00000000" w:rsidDel="00000000" w:rsidP="00000000" w:rsidRDefault="00000000" w:rsidRPr="00000000" w14:paraId="0000001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ALICI, ENTROPOL tarafından açıklanan, taahhütlü veya peşin olarak sunulan ücretli içerik hizmetlerine ilişkin hizmet bedellerini, bildirilen şekillerde ödemeyi, bu ödemeyi yapmadıkça SAFEJETS FTL’in sunmuş olduğu hizmetlerden yararlanamayacağını kabul ve taahhüt eder.</w:t>
      </w:r>
    </w:p>
    <w:p w:rsidR="00000000" w:rsidDel="00000000" w:rsidP="00000000" w:rsidRDefault="00000000" w:rsidRPr="00000000" w14:paraId="0000001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 ALICI, SAFEJETS FTL hizmetini hava aracı sayısına ve talep ettiği diğer modüllere bağlı olarak almakta olup, hizmetin ücreti aşağıda belirtildiği gibidir: </w:t>
      </w:r>
    </w:p>
    <w:tbl>
      <w:tblPr>
        <w:tblStyle w:val="Table1"/>
        <w:tblW w:w="10461.0" w:type="dxa"/>
        <w:jc w:val="left"/>
        <w:tblInd w:w="0.0" w:type="dxa"/>
        <w:tblBorders>
          <w:top w:color="ffd965" w:space="0" w:sz="4" w:val="single"/>
          <w:left w:color="ffd965" w:space="0" w:sz="4" w:val="single"/>
          <w:bottom w:color="ffd965" w:space="0" w:sz="4" w:val="single"/>
          <w:right w:color="ffd965" w:space="0" w:sz="4" w:val="single"/>
          <w:insideH w:color="ffd965" w:space="0" w:sz="4" w:val="single"/>
          <w:insideV w:color="ffd965" w:space="0" w:sz="4" w:val="single"/>
        </w:tblBorders>
        <w:tblLayout w:type="fixed"/>
        <w:tblLook w:val="0400"/>
      </w:tblPr>
      <w:tblGrid>
        <w:gridCol w:w="3563"/>
        <w:gridCol w:w="5282"/>
        <w:gridCol w:w="1616"/>
        <w:tblGridChange w:id="0">
          <w:tblGrid>
            <w:gridCol w:w="3563"/>
            <w:gridCol w:w="5282"/>
            <w:gridCol w:w="1616"/>
          </w:tblGrid>
        </w:tblGridChange>
      </w:tblGrid>
      <w:tr>
        <w:trPr>
          <w:cantSplit w:val="0"/>
          <w:trHeight w:val="337" w:hRule="atLeast"/>
          <w:tblHeader w:val="0"/>
        </w:trPr>
        <w:tc>
          <w:tcPr/>
          <w:p w:rsidR="00000000" w:rsidDel="00000000" w:rsidP="00000000" w:rsidRDefault="00000000" w:rsidRPr="00000000" w14:paraId="0000001A">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Kalem</w:t>
            </w:r>
          </w:p>
        </w:tc>
        <w:tc>
          <w:tcPr/>
          <w:p w:rsidR="00000000" w:rsidDel="00000000" w:rsidP="00000000" w:rsidRDefault="00000000" w:rsidRPr="00000000" w14:paraId="0000001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Yararlandırılacak Hava aracı / Personel sayısı</w:t>
            </w:r>
          </w:p>
        </w:tc>
        <w:tc>
          <w:tcPr/>
          <w:p w:rsidR="00000000" w:rsidDel="00000000" w:rsidP="00000000" w:rsidRDefault="00000000" w:rsidRPr="00000000" w14:paraId="0000001C">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Fiyat</w:t>
            </w:r>
          </w:p>
        </w:tc>
      </w:tr>
      <w:tr>
        <w:trPr>
          <w:cantSplit w:val="0"/>
          <w:trHeight w:val="337" w:hRule="atLeast"/>
          <w:tblHeader w:val="0"/>
        </w:trPr>
        <w:tc>
          <w:tcPr/>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Temel Operasyon Modülü (TOM)</w:t>
            </w:r>
          </w:p>
        </w:tc>
        <w:tc>
          <w:tcPr/>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Personel Takip Modülü (PTM)</w:t>
            </w:r>
          </w:p>
        </w:tc>
        <w:tc>
          <w:tcPr/>
          <w:p w:rsidR="00000000" w:rsidDel="00000000" w:rsidP="00000000" w:rsidRDefault="00000000" w:rsidRPr="00000000" w14:paraId="00000021">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22">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İç Yazışma Modülü (İM)</w:t>
            </w:r>
          </w:p>
        </w:tc>
        <w:tc>
          <w:tcPr/>
          <w:p w:rsidR="00000000" w:rsidDel="00000000" w:rsidP="00000000" w:rsidRDefault="00000000" w:rsidRPr="00000000" w14:paraId="00000024">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Cost Module (CM)</w:t>
            </w:r>
          </w:p>
        </w:tc>
        <w:tc>
          <w:tcPr/>
          <w:p w:rsidR="00000000" w:rsidDel="00000000" w:rsidP="00000000" w:rsidRDefault="00000000" w:rsidRPr="00000000" w14:paraId="00000027">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28">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Dispatch ve Tarife Modülü (DIM)</w:t>
            </w:r>
          </w:p>
        </w:tc>
        <w:tc>
          <w:tcPr/>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Customization Ücretleri</w:t>
            </w:r>
          </w:p>
        </w:tc>
        <w:tc>
          <w:tcPr/>
          <w:p w:rsidR="00000000" w:rsidDel="00000000" w:rsidP="00000000" w:rsidRDefault="00000000" w:rsidRPr="00000000" w14:paraId="0000002D">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2E">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2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İndirimler</w:t>
            </w:r>
          </w:p>
        </w:tc>
        <w:tc>
          <w:tcPr/>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tl w:val="0"/>
              </w:rPr>
            </w:r>
          </w:p>
        </w:tc>
        <w:tc>
          <w:tcPr/>
          <w:p w:rsidR="00000000" w:rsidDel="00000000" w:rsidP="00000000" w:rsidRDefault="00000000" w:rsidRPr="00000000" w14:paraId="00000031">
            <w:pPr>
              <w:jc w:val="both"/>
              <w:rPr>
                <w:rFonts w:ascii="Open Sans" w:cs="Open Sans" w:eastAsia="Open Sans" w:hAnsi="Open Sans"/>
                <w:sz w:val="18"/>
                <w:szCs w:val="18"/>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32">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TOPLAM</w:t>
            </w:r>
          </w:p>
        </w:tc>
        <w:tc>
          <w:tcPr/>
          <w:p w:rsidR="00000000" w:rsidDel="00000000" w:rsidP="00000000" w:rsidRDefault="00000000" w:rsidRPr="00000000" w14:paraId="00000033">
            <w:pPr>
              <w:jc w:val="both"/>
              <w:rPr>
                <w:rFonts w:ascii="Open Sans" w:cs="Open Sans" w:eastAsia="Open Sans" w:hAnsi="Open Sans"/>
                <w:b w:val="1"/>
                <w:sz w:val="18"/>
                <w:szCs w:val="18"/>
              </w:rPr>
            </w:pPr>
            <w:r w:rsidDel="00000000" w:rsidR="00000000" w:rsidRPr="00000000">
              <w:rPr>
                <w:rtl w:val="0"/>
              </w:rPr>
            </w:r>
          </w:p>
        </w:tc>
        <w:tc>
          <w:tcPr/>
          <w:p w:rsidR="00000000" w:rsidDel="00000000" w:rsidP="00000000" w:rsidRDefault="00000000" w:rsidRPr="00000000" w14:paraId="00000034">
            <w:pPr>
              <w:jc w:val="both"/>
              <w:rPr>
                <w:rFonts w:ascii="Open Sans" w:cs="Open Sans" w:eastAsia="Open Sans" w:hAnsi="Open Sans"/>
                <w:b w:val="1"/>
                <w:sz w:val="18"/>
                <w:szCs w:val="18"/>
              </w:rPr>
            </w:pPr>
            <w:r w:rsidDel="00000000" w:rsidR="00000000" w:rsidRPr="00000000">
              <w:rPr>
                <w:rtl w:val="0"/>
              </w:rPr>
            </w:r>
          </w:p>
        </w:tc>
      </w:tr>
    </w:tbl>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 ALICI ödeme yaptıktan ve doldurulmuş kayıt formunu gönderdikten sonra 48 saat içerisinde sistem kullanıma açılacaktır. ALICI hizmeti satın aldıktan sonra sistemin kullanımına yönelik bir defaya mahsus olmak üzere eğitim talep edebilir. ENTROPOL bu eğitimi ücretsiz sunacaktır.</w:t>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d. Müteakip yıllardaki yenileme faturası en erken abonelik yenileme tarihinden bir ay önce kesilir. ENTROPOL, yenileme tarihine kadar ödemenin yapılmaması halinde hesaba erişimi geçici olarak engelleme, yenileme tarihinin üzerinden 30 (otuz) gün geçmesi halinde üyeliği bildirimsiz iptal etme ve 45 (kırk beş) gün geçmesi halinde ise ALICI verilerini geri dönüşümsüz olarak sistemden silme hakkına sahiptir. ENTROPOL, fatura tarihinden itibaren 30 gün geçmesi halinde kur değişiminden kaynaklı uğradığı zararları telafi etmek için kur farkı faturası kesebilir.</w:t>
      </w:r>
    </w:p>
    <w:p w:rsidR="00000000" w:rsidDel="00000000" w:rsidP="00000000" w:rsidRDefault="00000000" w:rsidRPr="00000000" w14:paraId="0000003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 Bu sözleşme yıllık abonelik bedelini ihtiva eder ve bir yıllık abonelik taahhüdünü içerir. Abonelik süresinin bitiminde herhangi bir sebeple bir yıldan daha az süreli uzatma talebi halinde aylık bazda bu sözleşmede yazılı olan fiyatın 3 misli uygulanır.</w:t>
      </w:r>
    </w:p>
    <w:p w:rsidR="00000000" w:rsidDel="00000000" w:rsidP="00000000" w:rsidRDefault="00000000" w:rsidRPr="00000000" w14:paraId="0000003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 ALICI, bir yıllık abonelik süresi sona ermeden yeni bir hava aracı ilave etmek istediği takdirde yenilemeye kalan süre baz alınarak aylık $100’dan ücretlendirilir. Ancak müteakip abonelik yenilemede yıllık ücretlendirme işbu sözleşmede anlaşılmış olan miktardan gerçekleşir.</w:t>
      </w:r>
    </w:p>
    <w:p w:rsidR="00000000" w:rsidDel="00000000" w:rsidP="00000000" w:rsidRDefault="00000000" w:rsidRPr="00000000" w14:paraId="0000003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g. ALICI, bir yıllık abonelik süresi sona ermeden filosundan bir hava aracı çıkardığında, o hava aracının mevcut verileri müteakip yıllarda arşivde tutulacağından, ayrılan hava aracının bakiyesi iade edilmez.</w:t>
      </w:r>
    </w:p>
    <w:p w:rsidR="00000000" w:rsidDel="00000000" w:rsidP="00000000" w:rsidRDefault="00000000" w:rsidRPr="00000000" w14:paraId="0000003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h. ALICI, “Customization” adı altında kendi yönetim sistemindeki bazı form, otomasyon, özel belge oluşturma, özel raporlama, özgün işlev ve sistemsel öğelerin sisteme entegrasyonunu talep edebilir. Bu talepler ENTROPOL tarafından ücreti mukabilinde yerine getirilebilir. Her “Customization” için bedel, istenen özelleştirmenin karmaşıklığı ve ayrıntısına göre bir adam-saat ücretine göre hesaplanır ve taraflarca mutabık kalındıktan sonra gerçekleştirilir. </w:t>
      </w:r>
    </w:p>
    <w:p w:rsidR="00000000" w:rsidDel="00000000" w:rsidP="00000000" w:rsidRDefault="00000000" w:rsidRPr="00000000" w14:paraId="0000003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 ENTROPOL, </w:t>
      </w:r>
      <w:r w:rsidDel="00000000" w:rsidR="00000000" w:rsidRPr="00000000">
        <w:rPr>
          <w:rFonts w:ascii="Open Sans" w:cs="Open Sans" w:eastAsia="Open Sans" w:hAnsi="Open Sans"/>
          <w:sz w:val="18"/>
          <w:szCs w:val="18"/>
          <w:u w:val="single"/>
          <w:rtl w:val="0"/>
        </w:rPr>
        <w:t xml:space="preserve">bu sözleşme kapsamında uyguladığı fiyat tarifesinin</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b w:val="1"/>
          <w:sz w:val="18"/>
          <w:szCs w:val="18"/>
          <w:rtl w:val="0"/>
        </w:rPr>
        <w:t xml:space="preserve">ilk ve müteakip abonelik dönemi için</w:t>
      </w:r>
      <w:r w:rsidDel="00000000" w:rsidR="00000000" w:rsidRPr="00000000">
        <w:rPr>
          <w:rFonts w:ascii="Open Sans" w:cs="Open Sans" w:eastAsia="Open Sans" w:hAnsi="Open Sans"/>
          <w:sz w:val="18"/>
          <w:szCs w:val="18"/>
          <w:rtl w:val="0"/>
        </w:rPr>
        <w:t xml:space="preserve"> sabit kalacağını kabul ve taahhüt eder (Fiyat garantisi). </w:t>
      </w:r>
    </w:p>
    <w:p w:rsidR="00000000" w:rsidDel="00000000" w:rsidP="00000000" w:rsidRDefault="00000000" w:rsidRPr="00000000" w14:paraId="0000003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 Fiyat garantisinin sona erdiği verilen yenileme ertesinde ENTROPOL, sisteme yeni eklediği özelliklere ve ilave hizmetlere dayanarak (sistemin kullanılabilirliğini ilgilendiren zaruri teknik geliştirmeler ve SHGM yönetmeliklerindeki revizyonlar nedeniyle yapılan zaruri değişiklikler hariç) sözleşmenin yıllık yenilenme sürecinde zam yapma talebinde bulunabilir. Bu zam oranı %10’u geçemez. Zammın geçerli olması için her iki tarafça da kabulü şarttır. ALICI istediği takdirde zamma konu yeni özellikleri ve ilave hizmetleri kullanmamayı veya bu yeni özellik ve hizmetlerin sınırlandırılmasını tercih ederek zammı reddedebilir.</w:t>
      </w:r>
    </w:p>
    <w:p w:rsidR="00000000" w:rsidDel="00000000" w:rsidP="00000000" w:rsidRDefault="00000000" w:rsidRPr="00000000" w14:paraId="0000003E">
      <w:pPr>
        <w:pStyle w:val="Heading2"/>
        <w:jc w:val="both"/>
        <w:rPr>
          <w:sz w:val="22"/>
          <w:szCs w:val="22"/>
        </w:rPr>
      </w:pPr>
      <w:r w:rsidDel="00000000" w:rsidR="00000000" w:rsidRPr="00000000">
        <w:rPr>
          <w:sz w:val="22"/>
          <w:szCs w:val="22"/>
          <w:rtl w:val="0"/>
        </w:rPr>
        <w:t xml:space="preserve">7. SÖZLEŞMENİN SONA ERMESİ, YENİLENMESİ, FESİH VE UYUŞMAZLIKLAR</w:t>
      </w:r>
    </w:p>
    <w:p w:rsidR="00000000" w:rsidDel="00000000" w:rsidP="00000000" w:rsidRDefault="00000000" w:rsidRPr="00000000" w14:paraId="0000003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 ALICI, SAFEJETS FTL’i hiçbir şekilde kullanım amacı dışında kullanamaz ve /veya kullandıramaz, 3. kişi ve / veya kurumlara iletemez, kullandıramaz ve / veya devredemez. ENTROPOL tarafından yetkisiz bir kullanımın tespiti halinde işbu Sözleşme kapsamında sunulan hizmetler derhal durdurulabilir ve işbu Sözleşme hiçbir ihtara gerek kalmaksızın tek taraflı olarak feshedilebilir. Bu durumda ENTROPOL zararlarının tazminini vesair yasal haklarını talep etme hakkı saklıdır. İşbu sözleşme konusu haklar ALICI tarafından hiçbir surette ticari amaçlara konu yapılamaz.</w:t>
      </w:r>
    </w:p>
    <w:p w:rsidR="00000000" w:rsidDel="00000000" w:rsidP="00000000" w:rsidRDefault="00000000" w:rsidRPr="00000000" w14:paraId="0000004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 ALICI, işbu Sözleşmeyi feshetmek istediği takdirde ENTROPOL’e yazılı bildirimde bulunmak suretiyle üyeliğini sonlandırabilir. Böyle bir durumda ALICI, ilgili yıla ilişkin olarak ödemiş olduğu hizmet bedelinin geri verilmesini talep etmeyeceğini, taahhüt süresinden evvel üyeliğini iptal etmesi halinde yararlandığı ilgili yıla ait indirimin ve avantajların kendisine faturalandırılacağını kabul ve taahhüt eder. ALICI üyeliğini sonlandırdığında, işbu Sözleşme kapsamında bilgilerinin silinmesini, yok edilmesini veya anonim hale getirilmesini talep edebilir.</w:t>
      </w:r>
    </w:p>
    <w:p w:rsidR="00000000" w:rsidDel="00000000" w:rsidP="00000000" w:rsidRDefault="00000000" w:rsidRPr="00000000" w14:paraId="00000041">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c. İşbu Sözleşmeden kaynaklanabilecek ihtilaflarda İstanbul Mahkemeleri yetkilidir. </w:t>
      </w:r>
    </w:p>
    <w:p w:rsidR="00000000" w:rsidDel="00000000" w:rsidP="00000000" w:rsidRDefault="00000000" w:rsidRPr="00000000" w14:paraId="00000042">
      <w:pPr>
        <w:pStyle w:val="Heading2"/>
        <w:jc w:val="both"/>
        <w:rPr>
          <w:sz w:val="22"/>
          <w:szCs w:val="22"/>
        </w:rPr>
      </w:pPr>
      <w:r w:rsidDel="00000000" w:rsidR="00000000" w:rsidRPr="00000000">
        <w:rPr>
          <w:sz w:val="22"/>
          <w:szCs w:val="22"/>
          <w:rtl w:val="0"/>
        </w:rPr>
        <w:t xml:space="preserve">8. İmzalar</w:t>
      </w:r>
    </w:p>
    <w:p w:rsidR="00000000" w:rsidDel="00000000" w:rsidP="00000000" w:rsidRDefault="00000000" w:rsidRPr="00000000" w14:paraId="0000004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İşbu sözleşme 4 sayfadan oluşmakta olup aşağıda yer alan tarihlerde imza edilmiştir.</w:t>
      </w:r>
    </w:p>
    <w:tbl>
      <w:tblPr>
        <w:tblStyle w:val="Table2"/>
        <w:tblW w:w="10382.0" w:type="dxa"/>
        <w:jc w:val="left"/>
        <w:tblInd w:w="0.0" w:type="dxa"/>
        <w:tblBorders>
          <w:top w:color="ffd965" w:space="0" w:sz="4" w:val="single"/>
          <w:left w:color="ffd965" w:space="0" w:sz="4" w:val="single"/>
          <w:bottom w:color="ffd965" w:space="0" w:sz="4" w:val="single"/>
          <w:right w:color="ffd965" w:space="0" w:sz="4" w:val="single"/>
          <w:insideH w:color="ffd965" w:space="0" w:sz="4" w:val="single"/>
          <w:insideV w:color="ffd965" w:space="0" w:sz="4" w:val="single"/>
        </w:tblBorders>
        <w:tblLayout w:type="fixed"/>
        <w:tblLook w:val="0400"/>
      </w:tblPr>
      <w:tblGrid>
        <w:gridCol w:w="5191"/>
        <w:gridCol w:w="5191"/>
        <w:tblGridChange w:id="0">
          <w:tblGrid>
            <w:gridCol w:w="5191"/>
            <w:gridCol w:w="5191"/>
          </w:tblGrid>
        </w:tblGridChange>
      </w:tblGrid>
      <w:tr>
        <w:trPr>
          <w:cantSplit w:val="0"/>
          <w:trHeight w:val="380" w:hRule="atLeast"/>
          <w:tblHeader w:val="0"/>
        </w:trPr>
        <w:tc>
          <w:tcPr/>
          <w:p w:rsidR="00000000" w:rsidDel="00000000" w:rsidP="00000000" w:rsidRDefault="00000000" w:rsidRPr="00000000" w14:paraId="00000044">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Tarih: </w:t>
            </w:r>
          </w:p>
        </w:tc>
        <w:tc>
          <w:tcPr/>
          <w:p w:rsidR="00000000" w:rsidDel="00000000" w:rsidP="00000000" w:rsidRDefault="00000000" w:rsidRPr="00000000" w14:paraId="0000004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Tarih: </w:t>
            </w:r>
          </w:p>
        </w:tc>
      </w:tr>
      <w:tr>
        <w:trPr>
          <w:cantSplit w:val="0"/>
          <w:trHeight w:val="1300" w:hRule="atLeast"/>
          <w:tblHeader w:val="0"/>
        </w:trPr>
        <w:tc>
          <w:tcPr/>
          <w:p w:rsidR="00000000" w:rsidDel="00000000" w:rsidP="00000000" w:rsidRDefault="00000000" w:rsidRPr="00000000" w14:paraId="00000046">
            <w:pPr>
              <w:jc w:val="both"/>
              <w:rPr>
                <w:rFonts w:ascii="Open Sans" w:cs="Open Sans" w:eastAsia="Open Sans" w:hAnsi="Open Sans"/>
                <w:b w:val="1"/>
                <w:color w:val="bfbfbf"/>
                <w:sz w:val="16"/>
                <w:szCs w:val="16"/>
              </w:rPr>
            </w:pPr>
            <w:r w:rsidDel="00000000" w:rsidR="00000000" w:rsidRPr="00000000">
              <w:rPr>
                <w:rFonts w:ascii="Open Sans" w:cs="Open Sans" w:eastAsia="Open Sans" w:hAnsi="Open Sans"/>
                <w:b w:val="1"/>
                <w:color w:val="bfbfbf"/>
                <w:sz w:val="16"/>
                <w:szCs w:val="16"/>
                <w:rtl w:val="0"/>
              </w:rPr>
              <w:t xml:space="preserve">ALICI Yetkilisi İsim, Soyisim, Kaşe ve İmza</w:t>
            </w:r>
          </w:p>
        </w:tc>
        <w:tc>
          <w:tcPr/>
          <w:p w:rsidR="00000000" w:rsidDel="00000000" w:rsidP="00000000" w:rsidRDefault="00000000" w:rsidRPr="00000000" w14:paraId="00000047">
            <w:pPr>
              <w:jc w:val="both"/>
              <w:rPr>
                <w:rFonts w:ascii="Open Sans" w:cs="Open Sans" w:eastAsia="Open Sans" w:hAnsi="Open Sans"/>
                <w:b w:val="1"/>
                <w:color w:val="bfbfbf"/>
                <w:sz w:val="16"/>
                <w:szCs w:val="16"/>
              </w:rPr>
            </w:pPr>
            <w:r w:rsidDel="00000000" w:rsidR="00000000" w:rsidRPr="00000000">
              <w:rPr>
                <w:rFonts w:ascii="Open Sans" w:cs="Open Sans" w:eastAsia="Open Sans" w:hAnsi="Open Sans"/>
                <w:b w:val="1"/>
                <w:color w:val="bfbfbf"/>
                <w:sz w:val="16"/>
                <w:szCs w:val="16"/>
                <w:rtl w:val="0"/>
              </w:rPr>
              <w:t xml:space="preserve">ENTROPOL Yetkilisi İsim, Soyisim, Kaşe ve İmza</w:t>
            </w:r>
          </w:p>
          <w:p w:rsidR="00000000" w:rsidDel="00000000" w:rsidP="00000000" w:rsidRDefault="00000000" w:rsidRPr="00000000" w14:paraId="00000048">
            <w:pPr>
              <w:jc w:val="both"/>
              <w:rPr>
                <w:rFonts w:ascii="Open Sans" w:cs="Open Sans" w:eastAsia="Open Sans" w:hAnsi="Open Sans"/>
                <w:b w:val="1"/>
                <w:color w:val="bfbfbf"/>
                <w:sz w:val="16"/>
                <w:szCs w:val="16"/>
              </w:rPr>
            </w:pPr>
            <w:r w:rsidDel="00000000" w:rsidR="00000000" w:rsidRPr="00000000">
              <w:rPr>
                <w:rtl w:val="0"/>
              </w:rPr>
            </w:r>
          </w:p>
          <w:p w:rsidR="00000000" w:rsidDel="00000000" w:rsidP="00000000" w:rsidRDefault="00000000" w:rsidRPr="00000000" w14:paraId="00000049">
            <w:pPr>
              <w:jc w:val="both"/>
              <w:rPr>
                <w:rFonts w:ascii="Open Sans" w:cs="Open Sans" w:eastAsia="Open Sans" w:hAnsi="Open Sans"/>
                <w:b w:val="1"/>
                <w:color w:val="bfbfbf"/>
                <w:sz w:val="16"/>
                <w:szCs w:val="16"/>
              </w:rPr>
            </w:pPr>
            <w:r w:rsidDel="00000000" w:rsidR="00000000" w:rsidRPr="00000000">
              <w:rPr>
                <w:rtl w:val="0"/>
              </w:rPr>
            </w:r>
          </w:p>
          <w:p w:rsidR="00000000" w:rsidDel="00000000" w:rsidP="00000000" w:rsidRDefault="00000000" w:rsidRPr="00000000" w14:paraId="0000004A">
            <w:pPr>
              <w:jc w:val="both"/>
              <w:rPr>
                <w:rFonts w:ascii="Open Sans" w:cs="Open Sans" w:eastAsia="Open Sans" w:hAnsi="Open Sans"/>
                <w:b w:val="1"/>
                <w:color w:val="bfbfbf"/>
                <w:sz w:val="16"/>
                <w:szCs w:val="16"/>
              </w:rPr>
            </w:pPr>
            <w:r w:rsidDel="00000000" w:rsidR="00000000" w:rsidRPr="00000000">
              <w:rPr>
                <w:rtl w:val="0"/>
              </w:rPr>
            </w:r>
          </w:p>
          <w:p w:rsidR="00000000" w:rsidDel="00000000" w:rsidP="00000000" w:rsidRDefault="00000000" w:rsidRPr="00000000" w14:paraId="0000004B">
            <w:pPr>
              <w:jc w:val="both"/>
              <w:rPr>
                <w:rFonts w:ascii="Open Sans" w:cs="Open Sans" w:eastAsia="Open Sans" w:hAnsi="Open Sans"/>
                <w:b w:val="1"/>
                <w:color w:val="bfbfbf"/>
                <w:sz w:val="16"/>
                <w:szCs w:val="16"/>
              </w:rPr>
            </w:pPr>
            <w:r w:rsidDel="00000000" w:rsidR="00000000" w:rsidRPr="00000000">
              <w:rPr>
                <w:rtl w:val="0"/>
              </w:rPr>
            </w:r>
          </w:p>
          <w:p w:rsidR="00000000" w:rsidDel="00000000" w:rsidP="00000000" w:rsidRDefault="00000000" w:rsidRPr="00000000" w14:paraId="0000004C">
            <w:pPr>
              <w:jc w:val="both"/>
              <w:rPr>
                <w:rFonts w:ascii="Open Sans" w:cs="Open Sans" w:eastAsia="Open Sans" w:hAnsi="Open Sans"/>
                <w:b w:val="1"/>
                <w:color w:val="bfbfbf"/>
                <w:sz w:val="16"/>
                <w:szCs w:val="16"/>
              </w:rPr>
            </w:pPr>
            <w:r w:rsidDel="00000000" w:rsidR="00000000" w:rsidRPr="00000000">
              <w:rPr>
                <w:rtl w:val="0"/>
              </w:rPr>
            </w:r>
          </w:p>
          <w:p w:rsidR="00000000" w:rsidDel="00000000" w:rsidP="00000000" w:rsidRDefault="00000000" w:rsidRPr="00000000" w14:paraId="0000004D">
            <w:pPr>
              <w:jc w:val="both"/>
              <w:rPr>
                <w:rFonts w:ascii="Open Sans" w:cs="Open Sans" w:eastAsia="Open Sans" w:hAnsi="Open Sans"/>
                <w:b w:val="1"/>
                <w:color w:val="bfbfbf"/>
                <w:sz w:val="16"/>
                <w:szCs w:val="16"/>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sectPr>
      <w:headerReference r:id="rId9" w:type="default"/>
      <w:footerReference r:id="rId10" w:type="default"/>
      <w:pgSz w:h="15840" w:w="12240" w:orient="portrait"/>
      <w:pgMar w:bottom="720" w:top="720" w:left="1134" w:right="720" w:header="720" w:footer="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color="000000" w:space="1" w:sz="6" w:val="single"/>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pos="10348"/>
      </w:tabs>
      <w:spacing w:after="0" w:line="240" w:lineRule="auto"/>
      <w:rPr>
        <w:color w:val="000000"/>
        <w:sz w:val="20"/>
        <w:szCs w:val="20"/>
      </w:rPr>
    </w:pPr>
    <w:r w:rsidDel="00000000" w:rsidR="00000000" w:rsidRPr="00000000">
      <w:rPr>
        <w:color w:val="000000"/>
        <w:sz w:val="20"/>
        <w:szCs w:val="20"/>
        <w:rtl w:val="0"/>
      </w:rPr>
      <w:t xml:space="preserve">Sayfa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/4</w:t>
      <w:tab/>
      <w:tab/>
      <w:t xml:space="preserve">SAFEJETS FTL Üyelik Sözleşmesi – Rev: 8 – 01.07.2022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color="000000" w:space="1" w:sz="6" w:val="single"/>
        <w:right w:space="0" w:sz="0" w:val="nil"/>
        <w:between w:space="0" w:sz="0" w:val="nil"/>
      </w:pBdr>
      <w:tabs>
        <w:tab w:val="right" w:pos="10348"/>
      </w:tabs>
      <w:spacing w:after="0" w:line="240" w:lineRule="auto"/>
      <w:rPr>
        <w:rFonts w:ascii="Open Sans" w:cs="Open Sans" w:eastAsia="Open Sans" w:hAnsi="Open Sans"/>
        <w:color w:val="000000"/>
      </w:rPr>
    </w:pPr>
    <w:r w:rsidDel="00000000" w:rsidR="00000000" w:rsidRPr="00000000">
      <w:rPr>
        <w:color w:val="000000"/>
      </w:rPr>
      <w:drawing>
        <wp:inline distB="0" distT="0" distL="0" distR="0">
          <wp:extent cx="1732841" cy="252275"/>
          <wp:effectExtent b="0" l="0" r="0" t="0"/>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2841" cy="252275"/>
                  </a:xfrm>
                  <a:prstGeom prst="rect"/>
                  <a:ln/>
                </pic:spPr>
              </pic:pic>
            </a:graphicData>
          </a:graphic>
        </wp:inline>
      </w:drawing>
    </w:r>
    <w:r w:rsidDel="00000000" w:rsidR="00000000" w:rsidRPr="00000000">
      <w:rPr>
        <w:color w:val="000000"/>
        <w:rtl w:val="0"/>
      </w:rPr>
      <w:tab/>
      <w:tab/>
    </w:r>
    <w:r w:rsidDel="00000000" w:rsidR="00000000" w:rsidRPr="00000000">
      <w:rPr>
        <w:rFonts w:ascii="Open Sans" w:cs="Open Sans" w:eastAsia="Open Sans" w:hAnsi="Open Sans"/>
        <w:color w:val="000000"/>
        <w:sz w:val="18"/>
        <w:szCs w:val="18"/>
        <w:rtl w:val="0"/>
      </w:rPr>
      <w:t xml:space="preserve">ENTROPOL ARGE LTD. ŞTİ.</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8"/>
        <w:szCs w:val="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alibri" w:cs="Calibri" w:eastAsia="Calibri" w:hAnsi="Calibri"/>
      <w:color w:val="2f5496"/>
      <w:sz w:val="32"/>
      <w:szCs w:val="32"/>
    </w:rPr>
  </w:style>
  <w:style w:type="paragraph" w:styleId="Heading2">
    <w:name w:val="heading 2"/>
    <w:basedOn w:val="Normal"/>
    <w:next w:val="Normal"/>
    <w:pPr>
      <w:spacing w:after="120" w:before="180" w:line="240" w:lineRule="auto"/>
    </w:pPr>
    <w:rPr>
      <w:rFonts w:ascii="Open Sans" w:cs="Open Sans" w:eastAsia="Open Sans" w:hAnsi="Open Sans"/>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40C71"/>
    <w:pPr>
      <w:keepNext w:val="1"/>
      <w:keepLines w:val="1"/>
      <w:spacing w:after="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9"/>
    <w:unhideWhenUsed w:val="1"/>
    <w:qFormat w:val="1"/>
    <w:rsid w:val="005C1241"/>
    <w:pPr>
      <w:spacing w:after="120" w:before="180" w:line="240" w:lineRule="auto"/>
      <w:outlineLvl w:val="1"/>
    </w:pPr>
    <w:rPr>
      <w:rFonts w:ascii="Open Sans" w:cs="Open Sans" w:eastAsia="Times New Roman" w:hAnsi="Open Sans"/>
      <w:b w:val="1"/>
      <w:bCs w:val="1"/>
      <w:sz w:val="24"/>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5C1241"/>
    <w:rPr>
      <w:rFonts w:ascii="Open Sans" w:cs="Open Sans" w:eastAsia="Times New Roman" w:hAnsi="Open Sans"/>
      <w:b w:val="1"/>
      <w:bCs w:val="1"/>
      <w:sz w:val="24"/>
      <w:szCs w:val="36"/>
      <w:lang w:eastAsia="tr-TR" w:val="tr-TR"/>
    </w:rPr>
  </w:style>
  <w:style w:type="paragraph" w:styleId="NormalWeb">
    <w:name w:val="Normal (Web)"/>
    <w:basedOn w:val="Normal"/>
    <w:uiPriority w:val="99"/>
    <w:semiHidden w:val="1"/>
    <w:unhideWhenUsed w:val="1"/>
    <w:rsid w:val="004908A0"/>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4908A0"/>
    <w:rPr>
      <w:b w:val="1"/>
      <w:bCs w:val="1"/>
    </w:rPr>
  </w:style>
  <w:style w:type="character" w:styleId="Hyperlink">
    <w:name w:val="Hyperlink"/>
    <w:basedOn w:val="DefaultParagraphFont"/>
    <w:uiPriority w:val="99"/>
    <w:unhideWhenUsed w:val="1"/>
    <w:rsid w:val="004908A0"/>
    <w:rPr>
      <w:color w:val="0000ff"/>
      <w:u w:val="single"/>
    </w:rPr>
  </w:style>
  <w:style w:type="character" w:styleId="PlaceholderText">
    <w:name w:val="Placeholder Text"/>
    <w:basedOn w:val="DefaultParagraphFont"/>
    <w:uiPriority w:val="99"/>
    <w:semiHidden w:val="1"/>
    <w:rsid w:val="004908A0"/>
    <w:rPr>
      <w:color w:val="808080"/>
    </w:rPr>
  </w:style>
  <w:style w:type="character" w:styleId="UnresolvedMention">
    <w:name w:val="Unresolved Mention"/>
    <w:basedOn w:val="DefaultParagraphFont"/>
    <w:uiPriority w:val="99"/>
    <w:semiHidden w:val="1"/>
    <w:unhideWhenUsed w:val="1"/>
    <w:rsid w:val="004908A0"/>
    <w:rPr>
      <w:color w:val="808080"/>
      <w:shd w:color="auto" w:fill="e6e6e6" w:val="clear"/>
    </w:rPr>
  </w:style>
  <w:style w:type="character" w:styleId="Heading1Char" w:customStyle="1">
    <w:name w:val="Heading 1 Char"/>
    <w:basedOn w:val="DefaultParagraphFont"/>
    <w:link w:val="Heading1"/>
    <w:uiPriority w:val="9"/>
    <w:rsid w:val="00240C71"/>
    <w:rPr>
      <w:rFonts w:asciiTheme="majorHAnsi" w:cstheme="majorBidi" w:eastAsiaTheme="majorEastAsia" w:hAnsiTheme="majorHAnsi"/>
      <w:color w:val="2f5496" w:themeColor="accent1" w:themeShade="0000BF"/>
      <w:sz w:val="32"/>
      <w:szCs w:val="32"/>
    </w:rPr>
  </w:style>
  <w:style w:type="paragraph" w:styleId="Header">
    <w:name w:val="header"/>
    <w:basedOn w:val="Normal"/>
    <w:link w:val="HeaderChar"/>
    <w:uiPriority w:val="99"/>
    <w:unhideWhenUsed w:val="1"/>
    <w:rsid w:val="00B110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104C"/>
  </w:style>
  <w:style w:type="paragraph" w:styleId="Footer">
    <w:name w:val="footer"/>
    <w:basedOn w:val="Normal"/>
    <w:link w:val="FooterChar"/>
    <w:uiPriority w:val="99"/>
    <w:unhideWhenUsed w:val="1"/>
    <w:rsid w:val="00B110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104C"/>
  </w:style>
  <w:style w:type="table" w:styleId="TableGrid">
    <w:name w:val="Table Grid"/>
    <w:basedOn w:val="TableNormal"/>
    <w:uiPriority w:val="39"/>
    <w:rsid w:val="00B110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1Light-Accent1">
    <w:name w:val="Grid Table 1 Light Accent 1"/>
    <w:basedOn w:val="TableNormal"/>
    <w:uiPriority w:val="46"/>
    <w:rsid w:val="00307701"/>
    <w:pPr>
      <w:spacing w:after="0" w:line="240" w:lineRule="auto"/>
    </w:p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table" w:styleId="GridTable3-Accent3">
    <w:name w:val="Grid Table 3 Accent 3"/>
    <w:basedOn w:val="TableNormal"/>
    <w:uiPriority w:val="48"/>
    <w:rsid w:val="00307701"/>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3-Accent4">
    <w:name w:val="Grid Table 3 Accent 4"/>
    <w:basedOn w:val="TableNormal"/>
    <w:uiPriority w:val="48"/>
    <w:rsid w:val="00307701"/>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paragraph" w:styleId="BalloonText">
    <w:name w:val="Balloon Text"/>
    <w:basedOn w:val="Normal"/>
    <w:link w:val="BalloonTextChar"/>
    <w:uiPriority w:val="99"/>
    <w:semiHidden w:val="1"/>
    <w:unhideWhenUsed w:val="1"/>
    <w:rsid w:val="005C124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C1241"/>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ededed" w:val="clear"/>
      </w:tcPr>
    </w:tblStylePr>
    <w:tblStylePr w:type="band1Horz">
      <w:tblPr/>
      <w:tcPr>
        <w:shd w:color="auto" w:fill="ededed" w:val="clear"/>
      </w:tcPr>
    </w:tblStylePr>
    <w:tblStylePr w:type="neCell">
      <w:tblPr/>
      <w:tcPr>
        <w:tcBorders>
          <w:bottom w:color="c9c9c9" w:space="0" w:sz="4" w:val="single"/>
        </w:tcBorders>
      </w:tcPr>
    </w:tblStylePr>
    <w:tblStylePr w:type="nwCell">
      <w:tblPr/>
      <w:tcPr>
        <w:tcBorders>
          <w:bottom w:color="c9c9c9" w:space="0" w:sz="4" w:val="single"/>
        </w:tcBorders>
      </w:tcPr>
    </w:tblStylePr>
    <w:tblStylePr w:type="seCell">
      <w:tblPr/>
      <w:tcPr>
        <w:tcBorders>
          <w:top w:color="c9c9c9" w:space="0" w:sz="4" w:val="single"/>
        </w:tcBorders>
      </w:tcPr>
    </w:tblStylePr>
    <w:tblStylePr w:type="swCell">
      <w:tblPr/>
      <w:tcPr>
        <w:tcBorders>
          <w:top w:color="c9c9c9" w:space="0" w:sz="4" w:val="single"/>
        </w:tcBorders>
      </w:tcPr>
    </w:tblStylePr>
  </w:style>
  <w:style w:type="paragraph" w:styleId="NoSpacing">
    <w:name w:val="No Spacing"/>
    <w:uiPriority w:val="1"/>
    <w:qFormat w:val="1"/>
    <w:rsid w:val="006121F5"/>
    <w:pPr>
      <w:spacing w:after="0" w:line="240" w:lineRule="auto"/>
    </w:p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ftl.safejets.net" TargetMode="External"/><Relationship Id="rId8" Type="http://schemas.openxmlformats.org/officeDocument/2006/relationships/hyperlink" Target="mailto:info@entrop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8ULVv3Zeme9+rtDuc8E5t0ckw==">AMUW2mUsBmoEYGjf+mqfHCYuj+OqnsNXg4FnnPiw1PVauRsRi4xxHdqhyIRiJjpR8v52lMzqQdxbqaVWxwOQlvWSOzG2zGfETGfL5kvHAziJfxccN/dwNv+gvRfx2Oggqjy7tYJMMuEk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2022-08-13T00:06:00Z</dcterms:created>
  <dc:creator>Zaman Usta</dc:creator>
</cp:coreProperties>
</file>